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E8C52" w14:textId="63F225AA" w:rsidR="00C556D7" w:rsidRDefault="00221268">
      <w:r>
        <w:t>De acuerdo con lo establecido en los artículo</w:t>
      </w:r>
      <w:r w:rsidR="007F7D4B">
        <w:t xml:space="preserve">s </w:t>
      </w:r>
      <w:r w:rsidR="007F7D4B" w:rsidRPr="007F7D4B">
        <w:t>10 y siguientes de la Ley 20285 sobre Acceso a la información pública</w:t>
      </w:r>
      <w:r w:rsidR="007F7D4B">
        <w:t xml:space="preserve"> s</w:t>
      </w:r>
      <w:r>
        <w:t>olicito a</w:t>
      </w:r>
      <w:r w:rsidR="007F7D4B">
        <w:t xml:space="preserve"> la Subsecretaría de Prevención del Delito</w:t>
      </w:r>
      <w:r>
        <w:rPr>
          <w:color w:val="FF0000"/>
        </w:rPr>
        <w:t xml:space="preserve"> </w:t>
      </w:r>
      <w:r>
        <w:t>la entrega de todos los documentos, antecedentes, registros o comunicaciones relacionadas con la implementación de tecnología de reconocimiento facial automatizado a través de cámaras ubicadas en el espacio público o espacios privados de tránsito públic</w:t>
      </w:r>
      <w:r w:rsidR="007F7D4B">
        <w:t xml:space="preserve">o. En particular los relativos a la licitación del sistema de </w:t>
      </w:r>
      <w:proofErr w:type="spellStart"/>
      <w:r w:rsidR="007F7D4B">
        <w:t>teleprotección</w:t>
      </w:r>
      <w:proofErr w:type="spellEnd"/>
      <w:r w:rsidR="007F7D4B">
        <w:t xml:space="preserve"> a nivel nacional (</w:t>
      </w:r>
      <w:r w:rsidR="007F7D4B" w:rsidRPr="007F7D4B">
        <w:t>Licitación ID: 654478-1-LR20</w:t>
      </w:r>
      <w:r w:rsidR="007F7D4B">
        <w:t>).</w:t>
      </w:r>
    </w:p>
    <w:p w14:paraId="7D6A0578" w14:textId="77777777" w:rsidR="00C556D7" w:rsidRDefault="00221268">
      <w:r>
        <w:t>Para mayor certeza, solicito:</w:t>
      </w:r>
    </w:p>
    <w:p w14:paraId="6760CB12" w14:textId="77777777" w:rsidR="00C556D7" w:rsidRDefault="00221268">
      <w:pPr>
        <w:numPr>
          <w:ilvl w:val="0"/>
          <w:numId w:val="1"/>
        </w:numPr>
      </w:pPr>
      <w:r>
        <w:t>Los documentos, minutas y antecedentes donde conste la evaluación previa de los programas del sistema, así como los documentos, minutas y antecedentes donde consten los resultados que arrojó dicha evalu</w:t>
      </w:r>
      <w:r>
        <w:t>ación.</w:t>
      </w:r>
    </w:p>
    <w:p w14:paraId="075B62C2" w14:textId="5B9BE09E" w:rsidR="00C556D7" w:rsidRDefault="00221268">
      <w:pPr>
        <w:numPr>
          <w:ilvl w:val="0"/>
          <w:numId w:val="1"/>
        </w:numPr>
      </w:pPr>
      <w:r>
        <w:t>Los documentos, minutas y antecedentes donde conste el análisis jurídico de la legalidad del uso de programas de reconocimiento facial automatizado, teniendo en consideración las posibles afectaciones al derecho a la intimidad, al derecho a la prote</w:t>
      </w:r>
      <w:r>
        <w:t>cción de datos personales, al derecho a la inviolabilidad de las comunicaciones, entre otros</w:t>
      </w:r>
      <w:r>
        <w:t xml:space="preserve">. </w:t>
      </w:r>
    </w:p>
    <w:p w14:paraId="57E8718F" w14:textId="77777777" w:rsidR="00C556D7" w:rsidRDefault="00221268">
      <w:pPr>
        <w:numPr>
          <w:ilvl w:val="0"/>
          <w:numId w:val="1"/>
        </w:numPr>
      </w:pPr>
      <w:r>
        <w:t>Los estudios de que justifiquen la necesidad de adquisición de tecnología de reconocimiento facial automatizado en lugar de la adopción de otras medidas me</w:t>
      </w:r>
      <w:r>
        <w:t>nos lesivas de derechos fundamentales, así como estudios que demuestren la efectividad de la vigilancia biométrica como forma de combatir o reducir los índices de comisión de delitos, en contraste con otras medidas.</w:t>
      </w:r>
    </w:p>
    <w:p w14:paraId="0B5966ED" w14:textId="0DC9EB57" w:rsidR="00C556D7" w:rsidRDefault="00221268">
      <w:pPr>
        <w:numPr>
          <w:ilvl w:val="0"/>
          <w:numId w:val="1"/>
        </w:numPr>
      </w:pPr>
      <w:r>
        <w:t>Los estudios relativos al cumplimiento d</w:t>
      </w:r>
      <w:r>
        <w:t xml:space="preserve">e las disposiciones de </w:t>
      </w:r>
      <w:r w:rsidR="007F7D4B">
        <w:t>la ley 19.628</w:t>
      </w:r>
      <w:r>
        <w:rPr>
          <w:color w:val="FF0000"/>
        </w:rPr>
        <w:t xml:space="preserve"> </w:t>
      </w:r>
      <w:r>
        <w:t xml:space="preserve">en lo referente a los principios de finalidad, reserva, tratamiento y almacenamiento de datos y proporcionalidad de la captación; así como el cumplimiento de los requisitos para la </w:t>
      </w:r>
      <w:r>
        <w:t>recolección de datos personales sensibles.</w:t>
      </w:r>
    </w:p>
    <w:p w14:paraId="7FCE3BC1" w14:textId="77777777" w:rsidR="00C556D7" w:rsidRDefault="00221268">
      <w:pPr>
        <w:numPr>
          <w:ilvl w:val="0"/>
          <w:numId w:val="1"/>
        </w:numPr>
      </w:pPr>
      <w:r>
        <w:t>Los documentos, minutas y antecedentes donde consten los estudios por el posible tratamiento de datos personales (biométricos) de niños, niñas y adolescentes, incluyendo información sobre las normas legales que ha</w:t>
      </w:r>
      <w:r>
        <w:t>bilitarían al sistema para captar dichos datos, y qué mecanismos técnicos se tomarán para que dichos datos sean resguardados y debidamente eliminados previo a su procesamiento.</w:t>
      </w:r>
    </w:p>
    <w:p w14:paraId="25D75B05" w14:textId="77777777" w:rsidR="00C556D7" w:rsidRDefault="00221268">
      <w:pPr>
        <w:numPr>
          <w:ilvl w:val="0"/>
          <w:numId w:val="1"/>
        </w:numPr>
      </w:pPr>
      <w:r>
        <w:t>Las especificaciones técnicas del sistema de vigilancia, incluyendo las caracte</w:t>
      </w:r>
      <w:r>
        <w:t>rísticas y capacidades de sus cámaras, sistemas de almacenamiento y procesamiento de información, bases de datos relacionadas, y algoritmos de análisis, así como todo otro antecedente que, de cuenta de su funcionamiento, forma de operación y resultados esp</w:t>
      </w:r>
      <w:r>
        <w:t>erados.</w:t>
      </w:r>
    </w:p>
    <w:p w14:paraId="51CB84B0" w14:textId="094C911D" w:rsidR="00C556D7" w:rsidRDefault="00221268">
      <w:pPr>
        <w:numPr>
          <w:ilvl w:val="0"/>
          <w:numId w:val="1"/>
        </w:numPr>
      </w:pPr>
      <w:r>
        <w:t>El tipo de información, imágenes y datos personales que serán recogidos por el sistema, identificando las operaciones específicas de tratamiento o procesamiento a las que estarán sometidas esos datos. Identificar las entidades públicas y privadas q</w:t>
      </w:r>
      <w:r>
        <w:t xml:space="preserve">ue estarán a cargo del almacenamiento y tratamiento de los datos, y la </w:t>
      </w:r>
      <w:r w:rsidR="007F7D4B">
        <w:t>especificación</w:t>
      </w:r>
      <w:r>
        <w:t xml:space="preserve"> de quienes, bajo que protocolos de autorización y en qué condiciones, tendrán acceso a dichos datos.</w:t>
      </w:r>
    </w:p>
    <w:p w14:paraId="07AE44C9" w14:textId="77777777" w:rsidR="00C556D7" w:rsidRDefault="00221268">
      <w:pPr>
        <w:numPr>
          <w:ilvl w:val="0"/>
          <w:numId w:val="1"/>
        </w:numPr>
      </w:pPr>
      <w:r>
        <w:t xml:space="preserve">El código fuente del </w:t>
      </w:r>
      <w:r>
        <w:rPr>
          <w:i/>
          <w:iCs/>
        </w:rPr>
        <w:t>software</w:t>
      </w:r>
      <w:r>
        <w:t xml:space="preserve"> utilizado por la empresa proveedora par</w:t>
      </w:r>
      <w:r>
        <w:t xml:space="preserve">a la implementación del sistema de reconocimiento facial, a fin de poder auditarlo de forma independiente. Del mismo </w:t>
      </w:r>
      <w:r>
        <w:lastRenderedPageBreak/>
        <w:t>modo, solicito acceso al algoritmo utilizado por el sistema para encontrar patrones entre los rasgos faciales de los individuos captados, y</w:t>
      </w:r>
      <w:r>
        <w:t xml:space="preserve"> la documentación asociada relativa al modelo lógico en que se basa.</w:t>
      </w:r>
    </w:p>
    <w:p w14:paraId="43917543" w14:textId="77777777" w:rsidR="00C556D7" w:rsidRDefault="00221268">
      <w:pPr>
        <w:numPr>
          <w:ilvl w:val="0"/>
          <w:numId w:val="1"/>
        </w:numPr>
      </w:pPr>
      <w:r>
        <w:t>Los estudios realizados, encargados a terceros o entregados por proveedores que estimen la proporción de error del sistema de reconocimiento facial automatizado, esto es, la tasa de falso</w:t>
      </w:r>
      <w:r>
        <w:t>s positivos y falsos negativos del sistema, así como los mecanismos y directrices implementados para evitar que estos errores se traduzcan en situaciones de discriminación, estigmatización, controles arbitrarios, y otras situaciones contrarias a los derech</w:t>
      </w:r>
      <w:r>
        <w:t>os de las personas.</w:t>
      </w:r>
    </w:p>
    <w:p w14:paraId="3E4C658E" w14:textId="77777777" w:rsidR="00C556D7" w:rsidRDefault="00221268">
      <w:pPr>
        <w:numPr>
          <w:ilvl w:val="0"/>
          <w:numId w:val="1"/>
        </w:numPr>
      </w:pPr>
      <w:r>
        <w:t>Todos los documentos y antecedentes relativos a la adquisición del sistema de reconocimiento facial automatizado, incluyendo estudios presupuestarios, contratos y licitaciones con empresas externas, ya sea el diseño del sistema, como en</w:t>
      </w:r>
      <w:r>
        <w:t xml:space="preserve"> la provisión de los componentes físicos y lógicos del sistema, y los servicios de mantenimiento asociados.</w:t>
      </w:r>
    </w:p>
    <w:p w14:paraId="13E0C6BD" w14:textId="629D1F25" w:rsidR="00C556D7" w:rsidRDefault="00221268">
      <w:pPr>
        <w:numPr>
          <w:ilvl w:val="0"/>
          <w:numId w:val="1"/>
        </w:numPr>
      </w:pPr>
      <w:r>
        <w:t>Información completa de cómo se va a recolectar, almacenar y procesar la información personal a fin de garantizar que este procesamiento sea de cará</w:t>
      </w:r>
      <w:r>
        <w:t xml:space="preserve">cter reservado, proporcional, seguro y responda exclusivamente a la finalidad de identificar a personas con orden de detención pendiente, o cómo se dará cumplimiento a las exigencias establecidas </w:t>
      </w:r>
      <w:r w:rsidR="007F7D4B">
        <w:t>en Código Procesal Penal</w:t>
      </w:r>
      <w:r>
        <w:t xml:space="preserve"> ejecución de medidas de investigación intrusivas del ejercicio de garantías fundamentales.</w:t>
      </w:r>
    </w:p>
    <w:p w14:paraId="31350572" w14:textId="5E7903B6" w:rsidR="00C556D7" w:rsidRDefault="00221268">
      <w:pPr>
        <w:numPr>
          <w:ilvl w:val="0"/>
          <w:numId w:val="1"/>
        </w:numPr>
      </w:pPr>
      <w:r>
        <w:t>Información relativa a cuáles son las bases de datos que alimentan en sistema de captación biométrica, ya sea del</w:t>
      </w:r>
      <w:r w:rsidR="007F7D4B">
        <w:t xml:space="preserve"> Registro Civil, Carabineros, Policía de investigaciones o</w:t>
      </w:r>
      <w:r w:rsidRPr="007F7D4B">
        <w:t xml:space="preserve"> </w:t>
      </w:r>
      <w:r w:rsidRPr="007F7D4B">
        <w:t>de otro</w:t>
      </w:r>
      <w:r w:rsidR="007F7D4B">
        <w:t>s</w:t>
      </w:r>
      <w:r w:rsidRPr="007F7D4B">
        <w:t xml:space="preserve"> organismo</w:t>
      </w:r>
      <w:r w:rsidR="007F7D4B">
        <w:t>s</w:t>
      </w:r>
      <w:r w:rsidRPr="007F7D4B">
        <w:t xml:space="preserve"> público</w:t>
      </w:r>
      <w:r w:rsidR="007F7D4B">
        <w:t>s</w:t>
      </w:r>
      <w:r w:rsidRPr="007F7D4B">
        <w:t xml:space="preserve"> o de confección propia, así como el fundamento legal que permitiría</w:t>
      </w:r>
      <w:r>
        <w:t xml:space="preserve"> acceder o interoperar con dicha base de datos. También solicito información respecto a si estos datos serán obtenidos a través de comunicación, interconex</w:t>
      </w:r>
      <w:r>
        <w:t>ión u otra operación que permita contrastar la imagen biométrica captada con la base de datos referida. Del mismo modo, solicito acceso a la normativa y los documentos, convenios u otros instrumentos que habilitan esta entrega de información de carácter pe</w:t>
      </w:r>
      <w:r>
        <w:t xml:space="preserve">rsonal y su legalidad. </w:t>
      </w:r>
    </w:p>
    <w:p w14:paraId="5A1EB683" w14:textId="5FD7A333" w:rsidR="00C556D7" w:rsidRDefault="00221268">
      <w:pPr>
        <w:numPr>
          <w:ilvl w:val="0"/>
          <w:numId w:val="1"/>
        </w:numPr>
      </w:pPr>
      <w:r>
        <w:t>Información completa de cuáles son las medidas técnicas, organizativas y de ciberseguridad que permitirán resguardar la reserva, confidencialidad e integridad de los datos sensibles, así como cuáles funcionarios tendrán acceso a dic</w:t>
      </w:r>
      <w:r>
        <w:t>ha base de datos, bajo qué circunstancias y con qué tipo de privilegios sobre los datos (acceder, modificar, transferir, procesar, etcétera). Del mismo modo, solicito información relativa al mecanismo de almacenamiento de dichos datos, en particular si est</w:t>
      </w:r>
      <w:r>
        <w:t xml:space="preserve">arán almacenados de forma local, en manos de qué entidad, si se encontrarán debidamente cifrados o si estarán almacenados en algún servicio externo de nube o </w:t>
      </w:r>
      <w:proofErr w:type="spellStart"/>
      <w:r>
        <w:rPr>
          <w:i/>
          <w:iCs/>
        </w:rPr>
        <w:t>cloud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computing</w:t>
      </w:r>
      <w:proofErr w:type="spellEnd"/>
      <w:r>
        <w:rPr>
          <w:i/>
          <w:iCs/>
        </w:rPr>
        <w:t xml:space="preserve">. </w:t>
      </w:r>
      <w:r>
        <w:t>En el último caso, solicito que se señale si los servidores utilizados están loca</w:t>
      </w:r>
      <w:r>
        <w:t>lizados e</w:t>
      </w:r>
      <w:r w:rsidRPr="007F7D4B">
        <w:t>n</w:t>
      </w:r>
      <w:r w:rsidR="007F7D4B" w:rsidRPr="007F7D4B">
        <w:t xml:space="preserve"> Chile </w:t>
      </w:r>
      <w:r>
        <w:t>o en un territorio extranjero.</w:t>
      </w:r>
    </w:p>
    <w:p w14:paraId="674CA018" w14:textId="39E7CF3F" w:rsidR="00C556D7" w:rsidRDefault="00221268">
      <w:pPr>
        <w:numPr>
          <w:ilvl w:val="0"/>
          <w:numId w:val="1"/>
        </w:numPr>
      </w:pPr>
      <w:r>
        <w:t>13) Información relativa a los plazos de almacenamiento de la información, su protocolo para la eliminación segura y cuáles han sido los procedimientos establecidos para que los titulares puedan ejercer s</w:t>
      </w:r>
      <w:r>
        <w:t>u derecho a acceso, rectificación, cancelación u oposición de esos datos de acuerdo a la</w:t>
      </w:r>
      <w:r w:rsidR="007F7D4B">
        <w:t xml:space="preserve"> </w:t>
      </w:r>
      <w:r w:rsidR="007F7D4B" w:rsidRPr="007F7D4B">
        <w:t>Ley 20.285</w:t>
      </w:r>
      <w:r w:rsidR="007F7D4B">
        <w:t>.</w:t>
      </w:r>
    </w:p>
    <w:p w14:paraId="01A6B720" w14:textId="77777777" w:rsidR="00C556D7" w:rsidRDefault="00221268">
      <w:pPr>
        <w:numPr>
          <w:ilvl w:val="0"/>
          <w:numId w:val="1"/>
        </w:numPr>
      </w:pPr>
      <w:r>
        <w:t>Todos los antecedentes y detalles relativos a si el sistema de vigilancia funciona en base a un sistema de lista negra (cu</w:t>
      </w:r>
      <w:r>
        <w:t xml:space="preserve">enta con una base de datos de personas específicas previamente </w:t>
      </w:r>
      <w:r>
        <w:lastRenderedPageBreak/>
        <w:t>identificadas y contrasta los rasgos biométricos recolectados para detectar si se trata de los mismos individuos) o si funciona en base a un sistema de lista blanca (es capaz de identificar a t</w:t>
      </w:r>
      <w:r>
        <w:t>odos quienes transitan por la vía pública y levanta una alerta cuando un individuo no se encuentra en la base datos).</w:t>
      </w:r>
    </w:p>
    <w:p w14:paraId="73CC0A82" w14:textId="2F0FDAD7" w:rsidR="00C556D7" w:rsidRDefault="00221268">
      <w:pPr>
        <w:numPr>
          <w:ilvl w:val="0"/>
          <w:numId w:val="1"/>
        </w:numPr>
      </w:pPr>
      <w:r>
        <w:t>Mapa o listado de ubicación geográfica de las cámaras que cuentan con reconocimiento facial, o donde se pretende instalar las mismas en ej</w:t>
      </w:r>
      <w:r>
        <w:t xml:space="preserve">ecución de las políticas o programas de seguridad que consideren la </w:t>
      </w:r>
      <w:r w:rsidR="007F7D4B">
        <w:t>instalación</w:t>
      </w:r>
      <w:r>
        <w:t xml:space="preserve"> de estas </w:t>
      </w:r>
      <w:r w:rsidR="007F7D4B">
        <w:t xml:space="preserve">a nivel nacional </w:t>
      </w:r>
      <w:bookmarkStart w:id="0" w:name="_GoBack"/>
      <w:bookmarkEnd w:id="0"/>
      <w:r>
        <w:t>en espacios públicos o en espacios privados de tránsito público.</w:t>
      </w:r>
    </w:p>
    <w:sectPr w:rsidR="00C556D7">
      <w:footerReference w:type="default" r:id="rId7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1D52C" w14:textId="77777777" w:rsidR="00221268" w:rsidRDefault="00221268">
      <w:pPr>
        <w:spacing w:after="0" w:line="240" w:lineRule="auto"/>
      </w:pPr>
      <w:r>
        <w:separator/>
      </w:r>
    </w:p>
  </w:endnote>
  <w:endnote w:type="continuationSeparator" w:id="0">
    <w:p w14:paraId="48DCAAE1" w14:textId="77777777" w:rsidR="00221268" w:rsidRDefault="0022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92ED" w14:textId="77777777" w:rsidR="00C556D7" w:rsidRDefault="00221268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 wp14:anchorId="5562CA65" wp14:editId="49FB7A5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F90C919" w14:textId="77777777" w:rsidR="00C556D7" w:rsidRDefault="0022126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2CA65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55pt;margin-top:.05pt;width:5.65pt;height:13.45pt;z-index: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" stroked="f">
              <v:fill opacity="0"/>
              <v:textbox style="mso-fit-shape-to-text:t" inset="0,0,0,0">
                <w:txbxContent>
                  <w:p w14:paraId="4F90C919" w14:textId="77777777" w:rsidR="00C556D7" w:rsidRDefault="0022126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3878E" w14:textId="77777777" w:rsidR="00221268" w:rsidRDefault="00221268">
      <w:pPr>
        <w:spacing w:after="0" w:line="240" w:lineRule="auto"/>
      </w:pPr>
      <w:r>
        <w:separator/>
      </w:r>
    </w:p>
  </w:footnote>
  <w:footnote w:type="continuationSeparator" w:id="0">
    <w:p w14:paraId="308631EF" w14:textId="77777777" w:rsidR="00221268" w:rsidRDefault="0022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6E"/>
    <w:multiLevelType w:val="multilevel"/>
    <w:tmpl w:val="2E7C9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AE34B44"/>
    <w:multiLevelType w:val="multilevel"/>
    <w:tmpl w:val="6466FF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6D7"/>
    <w:rsid w:val="00221268"/>
    <w:rsid w:val="007F7D4B"/>
    <w:rsid w:val="00C5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5AAB"/>
  <w15:docId w15:val="{4B9EFFA8-2748-4C4D-861C-08D312EE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44270E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44270E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4270E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4270E"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47B8D"/>
  </w:style>
  <w:style w:type="character" w:styleId="PageNumber">
    <w:name w:val="page number"/>
    <w:basedOn w:val="DefaultParagraphFont"/>
    <w:uiPriority w:val="99"/>
    <w:semiHidden/>
    <w:unhideWhenUsed/>
    <w:qFormat/>
    <w:rsid w:val="00547B8D"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44270E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4270E"/>
    <w:rPr>
      <w:b/>
      <w:bCs/>
      <w:sz w:val="20"/>
      <w:szCs w:val="20"/>
    </w:rPr>
  </w:style>
  <w:style w:type="paragraph" w:styleId="Revision">
    <w:name w:val="Revision"/>
    <w:uiPriority w:val="99"/>
    <w:semiHidden/>
    <w:qFormat/>
    <w:rsid w:val="0044270E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4270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547B8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5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1113</Words>
  <Characters>6125</Characters>
  <Application>Microsoft Office Word</Application>
  <DocSecurity>0</DocSecurity>
  <Lines>51</Lines>
  <Paragraphs>14</Paragraphs>
  <ScaleCrop>false</ScaleCrop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Viollier</dc:creator>
  <dc:description/>
  <cp:lastModifiedBy>Pablo Viollier</cp:lastModifiedBy>
  <cp:revision>9</cp:revision>
  <dcterms:created xsi:type="dcterms:W3CDTF">2020-01-08T13:45:00Z</dcterms:created>
  <dcterms:modified xsi:type="dcterms:W3CDTF">2020-01-30T19:25:00Z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